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45" w:rsidRPr="00296245" w:rsidRDefault="00296245" w:rsidP="00296245">
      <w:pPr>
        <w:spacing w:after="0" w:line="240" w:lineRule="auto"/>
        <w:jc w:val="center"/>
        <w:rPr>
          <w:rFonts w:ascii="Arial" w:eastAsia="Times New Roman" w:hAnsi="Arial" w:cs="Arial"/>
          <w:sz w:val="24"/>
          <w:szCs w:val="24"/>
          <w:lang w:eastAsia="es-PE"/>
        </w:rPr>
      </w:pPr>
    </w:p>
    <w:p w:rsidR="00296245" w:rsidRDefault="00296245" w:rsidP="00882BE0">
      <w:pPr>
        <w:spacing w:after="0" w:line="240" w:lineRule="auto"/>
        <w:jc w:val="center"/>
        <w:rPr>
          <w:rFonts w:ascii="Arial" w:eastAsia="Times New Roman" w:hAnsi="Arial" w:cs="Arial"/>
          <w:b/>
          <w:bCs/>
          <w:sz w:val="24"/>
          <w:szCs w:val="24"/>
          <w:lang w:eastAsia="es-PE"/>
        </w:rPr>
      </w:pPr>
      <w:r w:rsidRPr="00296245">
        <w:rPr>
          <w:rFonts w:ascii="Arial" w:eastAsia="Times New Roman" w:hAnsi="Arial" w:cs="Arial"/>
          <w:b/>
          <w:bCs/>
          <w:sz w:val="24"/>
          <w:szCs w:val="24"/>
          <w:lang w:eastAsia="es-PE"/>
        </w:rPr>
        <w:t>Acta de Transferencia de Gestión</w:t>
      </w:r>
    </w:p>
    <w:p w:rsidR="00882BE0" w:rsidRDefault="00882BE0" w:rsidP="00882BE0">
      <w:pPr>
        <w:spacing w:after="0" w:line="240" w:lineRule="auto"/>
        <w:jc w:val="center"/>
      </w:pPr>
    </w:p>
    <w:p w:rsidR="00296245" w:rsidRDefault="00296245" w:rsidP="00296245">
      <w:pPr>
        <w:spacing w:after="0" w:line="240" w:lineRule="auto"/>
        <w:rPr>
          <w:rFonts w:ascii="Arial" w:eastAsia="Times New Roman" w:hAnsi="Arial" w:cs="Arial"/>
          <w:sz w:val="20"/>
          <w:szCs w:val="20"/>
          <w:lang w:eastAsia="es-PE"/>
        </w:rPr>
      </w:pPr>
      <w:r w:rsidRPr="00296245">
        <w:rPr>
          <w:rFonts w:ascii="Arial" w:eastAsia="Times New Roman" w:hAnsi="Arial" w:cs="Arial"/>
          <w:sz w:val="20"/>
          <w:szCs w:val="20"/>
          <w:lang w:eastAsia="es-PE"/>
        </w:rPr>
        <w:t xml:space="preserve">En la ciudad de Lima, a los </w:t>
      </w:r>
      <w:r w:rsidR="00DE79BB" w:rsidRPr="00296245">
        <w:rPr>
          <w:rFonts w:ascii="Arial" w:eastAsia="Times New Roman" w:hAnsi="Arial" w:cs="Arial"/>
          <w:sz w:val="20"/>
          <w:szCs w:val="20"/>
          <w:lang w:eastAsia="es-PE"/>
        </w:rPr>
        <w:t>dieciséis</w:t>
      </w:r>
      <w:r w:rsidRPr="00296245">
        <w:rPr>
          <w:rFonts w:ascii="Arial" w:eastAsia="Times New Roman" w:hAnsi="Arial" w:cs="Arial"/>
          <w:sz w:val="20"/>
          <w:szCs w:val="20"/>
          <w:lang w:eastAsia="es-PE"/>
        </w:rPr>
        <w:t xml:space="preserve"> días de agosto del Dos mil </w:t>
      </w:r>
      <w:r w:rsidR="00DE79BB" w:rsidRPr="00296245">
        <w:rPr>
          <w:rFonts w:ascii="Arial" w:eastAsia="Times New Roman" w:hAnsi="Arial" w:cs="Arial"/>
          <w:sz w:val="20"/>
          <w:szCs w:val="20"/>
          <w:lang w:eastAsia="es-PE"/>
        </w:rPr>
        <w:t>dieciséis</w:t>
      </w:r>
      <w:r w:rsidRPr="00296245">
        <w:rPr>
          <w:rFonts w:ascii="Arial" w:eastAsia="Times New Roman" w:hAnsi="Arial" w:cs="Arial"/>
          <w:sz w:val="20"/>
          <w:szCs w:val="20"/>
          <w:lang w:eastAsia="es-PE"/>
        </w:rPr>
        <w:t xml:space="preserve">, en el local del Consejo Nacional para la </w:t>
      </w:r>
      <w:r w:rsidR="00DE79BB" w:rsidRPr="00296245">
        <w:rPr>
          <w:rFonts w:ascii="Arial" w:eastAsia="Times New Roman" w:hAnsi="Arial" w:cs="Arial"/>
          <w:sz w:val="20"/>
          <w:szCs w:val="20"/>
          <w:lang w:eastAsia="es-PE"/>
        </w:rPr>
        <w:t>Integración</w:t>
      </w:r>
      <w:r w:rsidRPr="00296245">
        <w:rPr>
          <w:rFonts w:ascii="Arial" w:eastAsia="Times New Roman" w:hAnsi="Arial" w:cs="Arial"/>
          <w:sz w:val="20"/>
          <w:szCs w:val="20"/>
          <w:lang w:eastAsia="es-PE"/>
        </w:rPr>
        <w:t xml:space="preserve"> de la Persona con Discapacidad, sito en Avenida Arequipa Nº 375-Santa Beatriz, Lima, se reunieron:</w:t>
      </w:r>
    </w:p>
    <w:p w:rsidR="00DE79BB" w:rsidRPr="00296245" w:rsidRDefault="00DE79BB" w:rsidP="00296245">
      <w:pPr>
        <w:spacing w:after="0" w:line="240" w:lineRule="auto"/>
        <w:rPr>
          <w:rFonts w:ascii="Arial" w:eastAsia="Times New Roman" w:hAnsi="Arial" w:cs="Arial"/>
          <w:sz w:val="20"/>
          <w:szCs w:val="20"/>
          <w:lang w:eastAsia="es-PE"/>
        </w:rPr>
      </w:pPr>
    </w:p>
    <w:tbl>
      <w:tblPr>
        <w:tblStyle w:val="Tablaconcuadrcula"/>
        <w:tblW w:w="0" w:type="auto"/>
        <w:tblLook w:val="04A0" w:firstRow="1" w:lastRow="0" w:firstColumn="1" w:lastColumn="0" w:noHBand="0" w:noVBand="1"/>
      </w:tblPr>
      <w:tblGrid>
        <w:gridCol w:w="2942"/>
        <w:gridCol w:w="2943"/>
        <w:gridCol w:w="2943"/>
      </w:tblGrid>
      <w:tr w:rsidR="00296245" w:rsidTr="00296245">
        <w:tc>
          <w:tcPr>
            <w:tcW w:w="2942" w:type="dxa"/>
            <w:shd w:val="clear" w:color="auto" w:fill="F2F2F2" w:themeFill="background1" w:themeFillShade="F2"/>
          </w:tcPr>
          <w:p w:rsidR="00296245" w:rsidRDefault="00296245">
            <w:r>
              <w:t>Nombres y Apellidos</w:t>
            </w:r>
          </w:p>
        </w:tc>
        <w:tc>
          <w:tcPr>
            <w:tcW w:w="2943" w:type="dxa"/>
            <w:shd w:val="clear" w:color="auto" w:fill="F2F2F2" w:themeFill="background1" w:themeFillShade="F2"/>
          </w:tcPr>
          <w:p w:rsidR="00296245" w:rsidRDefault="00296245">
            <w:r>
              <w:t>Nº DNI</w:t>
            </w:r>
          </w:p>
        </w:tc>
        <w:tc>
          <w:tcPr>
            <w:tcW w:w="2943" w:type="dxa"/>
            <w:shd w:val="clear" w:color="auto" w:fill="F2F2F2" w:themeFill="background1" w:themeFillShade="F2"/>
          </w:tcPr>
          <w:p w:rsidR="00296245" w:rsidRDefault="00296245">
            <w:r>
              <w:t>Cargo/Representación</w:t>
            </w:r>
          </w:p>
        </w:tc>
      </w:tr>
      <w:tr w:rsidR="00296245" w:rsidTr="00F54100">
        <w:tc>
          <w:tcPr>
            <w:tcW w:w="2942" w:type="dxa"/>
            <w:vAlign w:val="center"/>
          </w:tcPr>
          <w:p w:rsidR="00296245" w:rsidRPr="00296245" w:rsidRDefault="00296245" w:rsidP="00D729F2">
            <w:pPr>
              <w:rPr>
                <w:rFonts w:ascii="Arial" w:eastAsia="Times New Roman" w:hAnsi="Arial" w:cs="Arial"/>
                <w:sz w:val="20"/>
                <w:szCs w:val="20"/>
                <w:lang w:eastAsia="es-PE"/>
              </w:rPr>
            </w:pPr>
            <w:r w:rsidRPr="00296245">
              <w:rPr>
                <w:rFonts w:ascii="Arial" w:eastAsia="Times New Roman" w:hAnsi="Arial" w:cs="Arial"/>
                <w:sz w:val="20"/>
                <w:szCs w:val="20"/>
                <w:lang w:eastAsia="es-PE"/>
              </w:rPr>
              <w:t xml:space="preserve">Señor Fernando Bolaños </w:t>
            </w:r>
            <w:proofErr w:type="spellStart"/>
            <w:r w:rsidRPr="00296245">
              <w:rPr>
                <w:rFonts w:ascii="Arial" w:eastAsia="Times New Roman" w:hAnsi="Arial" w:cs="Arial"/>
                <w:sz w:val="20"/>
                <w:szCs w:val="20"/>
                <w:lang w:eastAsia="es-PE"/>
              </w:rPr>
              <w:t>Gald</w:t>
            </w:r>
            <w:r w:rsidR="00D729F2">
              <w:rPr>
                <w:rFonts w:ascii="Arial" w:eastAsia="Times New Roman" w:hAnsi="Arial" w:cs="Arial"/>
                <w:sz w:val="20"/>
                <w:szCs w:val="20"/>
                <w:lang w:eastAsia="es-PE"/>
              </w:rPr>
              <w:t>o</w:t>
            </w:r>
            <w:r w:rsidRPr="00296245">
              <w:rPr>
                <w:rFonts w:ascii="Arial" w:eastAsia="Times New Roman" w:hAnsi="Arial" w:cs="Arial"/>
                <w:sz w:val="20"/>
                <w:szCs w:val="20"/>
                <w:lang w:eastAsia="es-PE"/>
              </w:rPr>
              <w:t>s</w:t>
            </w:r>
            <w:proofErr w:type="spellEnd"/>
          </w:p>
        </w:tc>
        <w:tc>
          <w:tcPr>
            <w:tcW w:w="2943" w:type="dxa"/>
            <w:vAlign w:val="center"/>
          </w:tcPr>
          <w:p w:rsidR="00296245" w:rsidRPr="00296245" w:rsidRDefault="00296245" w:rsidP="00296245">
            <w:pPr>
              <w:rPr>
                <w:rFonts w:ascii="Arial" w:eastAsia="Times New Roman" w:hAnsi="Arial" w:cs="Arial"/>
                <w:sz w:val="20"/>
                <w:szCs w:val="20"/>
                <w:lang w:eastAsia="es-PE"/>
              </w:rPr>
            </w:pPr>
            <w:r w:rsidRPr="00296245">
              <w:rPr>
                <w:rFonts w:ascii="Arial" w:eastAsia="Times New Roman" w:hAnsi="Arial" w:cs="Arial"/>
                <w:sz w:val="20"/>
                <w:szCs w:val="20"/>
                <w:lang w:eastAsia="es-PE"/>
              </w:rPr>
              <w:t>09926486</w:t>
            </w:r>
          </w:p>
        </w:tc>
        <w:tc>
          <w:tcPr>
            <w:tcW w:w="2943" w:type="dxa"/>
            <w:vAlign w:val="center"/>
          </w:tcPr>
          <w:p w:rsidR="00296245" w:rsidRPr="00296245" w:rsidRDefault="00296245" w:rsidP="00296245">
            <w:pPr>
              <w:jc w:val="both"/>
              <w:rPr>
                <w:rFonts w:ascii="Times New Roman" w:eastAsia="Times New Roman" w:hAnsi="Times New Roman" w:cs="Times New Roman"/>
                <w:sz w:val="24"/>
                <w:szCs w:val="24"/>
                <w:lang w:eastAsia="es-PE"/>
              </w:rPr>
            </w:pPr>
            <w:r>
              <w:rPr>
                <w:rFonts w:ascii="Arial" w:eastAsia="Times New Roman" w:hAnsi="Arial" w:cs="Arial"/>
                <w:sz w:val="24"/>
                <w:szCs w:val="24"/>
                <w:lang w:eastAsia="es-PE"/>
              </w:rPr>
              <w:t xml:space="preserve">Autoridad Saliente </w:t>
            </w:r>
          </w:p>
        </w:tc>
      </w:tr>
      <w:tr w:rsidR="00296245" w:rsidTr="00F54100">
        <w:tc>
          <w:tcPr>
            <w:tcW w:w="2942" w:type="dxa"/>
            <w:vAlign w:val="center"/>
          </w:tcPr>
          <w:p w:rsidR="00296245" w:rsidRPr="00296245" w:rsidRDefault="00296245" w:rsidP="00296245">
            <w:pPr>
              <w:rPr>
                <w:rFonts w:ascii="Arial" w:eastAsia="Times New Roman" w:hAnsi="Arial" w:cs="Arial"/>
                <w:sz w:val="20"/>
                <w:szCs w:val="20"/>
                <w:lang w:eastAsia="es-PE"/>
              </w:rPr>
            </w:pPr>
            <w:r w:rsidRPr="00296245">
              <w:rPr>
                <w:rFonts w:ascii="Arial" w:eastAsia="Times New Roman" w:hAnsi="Arial" w:cs="Arial"/>
                <w:sz w:val="20"/>
                <w:szCs w:val="20"/>
                <w:lang w:eastAsia="es-PE"/>
              </w:rPr>
              <w:t>Abogada Cecilia Barbieri Quino</w:t>
            </w:r>
          </w:p>
        </w:tc>
        <w:tc>
          <w:tcPr>
            <w:tcW w:w="2943" w:type="dxa"/>
            <w:vAlign w:val="center"/>
          </w:tcPr>
          <w:p w:rsidR="00296245" w:rsidRPr="00296245" w:rsidRDefault="00296245" w:rsidP="00296245">
            <w:pPr>
              <w:rPr>
                <w:rFonts w:ascii="Arial" w:eastAsia="Times New Roman" w:hAnsi="Arial" w:cs="Arial"/>
                <w:sz w:val="20"/>
                <w:szCs w:val="20"/>
                <w:lang w:eastAsia="es-PE"/>
              </w:rPr>
            </w:pPr>
            <w:r w:rsidRPr="00296245">
              <w:rPr>
                <w:rFonts w:ascii="Arial" w:eastAsia="Times New Roman" w:hAnsi="Arial" w:cs="Arial"/>
                <w:sz w:val="20"/>
                <w:szCs w:val="20"/>
                <w:lang w:eastAsia="es-PE"/>
              </w:rPr>
              <w:t>08734753</w:t>
            </w:r>
          </w:p>
        </w:tc>
        <w:tc>
          <w:tcPr>
            <w:tcW w:w="2943" w:type="dxa"/>
            <w:vAlign w:val="center"/>
          </w:tcPr>
          <w:p w:rsidR="00296245" w:rsidRPr="00296245" w:rsidRDefault="00296245" w:rsidP="00296245">
            <w:pPr>
              <w:jc w:val="both"/>
              <w:rPr>
                <w:rFonts w:ascii="Times New Roman" w:eastAsia="Times New Roman" w:hAnsi="Times New Roman" w:cs="Times New Roman"/>
                <w:sz w:val="24"/>
                <w:szCs w:val="24"/>
                <w:lang w:eastAsia="es-PE"/>
              </w:rPr>
            </w:pPr>
            <w:r w:rsidRPr="00296245">
              <w:rPr>
                <w:rFonts w:ascii="Arial" w:eastAsia="Times New Roman" w:hAnsi="Arial" w:cs="Arial"/>
                <w:sz w:val="24"/>
                <w:szCs w:val="24"/>
                <w:lang w:eastAsia="es-PE"/>
              </w:rPr>
              <w:t>Autoridad entrante</w:t>
            </w:r>
          </w:p>
        </w:tc>
      </w:tr>
    </w:tbl>
    <w:p w:rsidR="00882BE0" w:rsidRDefault="00882BE0" w:rsidP="00882BE0"/>
    <w:p w:rsidR="00882BE0" w:rsidRDefault="00882BE0" w:rsidP="00882BE0">
      <w:pPr>
        <w:jc w:val="both"/>
        <w:rPr>
          <w:rFonts w:ascii="Arial" w:eastAsia="Times New Roman" w:hAnsi="Arial" w:cs="Arial"/>
          <w:sz w:val="20"/>
          <w:szCs w:val="20"/>
          <w:lang w:eastAsia="es-PE"/>
        </w:rPr>
      </w:pPr>
      <w:r w:rsidRPr="00882BE0">
        <w:rPr>
          <w:rFonts w:ascii="Arial" w:eastAsia="Times New Roman" w:hAnsi="Arial" w:cs="Arial"/>
          <w:sz w:val="20"/>
          <w:szCs w:val="20"/>
          <w:lang w:eastAsia="es-PE"/>
        </w:rPr>
        <w:t>Mediante Oficio Nº 001-2016-CONADIS/CTG, de fecha 11 de agosto de 2016, se solicitó al Órgano de Control Institucional del MIMP su participación en el presente acto, en calidad de veedor. No obstante mediante Oficio Nº 138-2016-MIMP/OCI, de fecha 15 de agosto de 2016, se informó que a la fecha no se cuenta con la capacidad operativa suficiente que permita su participación.</w:t>
      </w:r>
    </w:p>
    <w:p w:rsidR="00882BE0" w:rsidRPr="00882BE0" w:rsidRDefault="00882BE0" w:rsidP="00882BE0">
      <w:pPr>
        <w:jc w:val="both"/>
        <w:rPr>
          <w:rFonts w:ascii="Arial" w:eastAsia="Times New Roman" w:hAnsi="Arial" w:cs="Arial"/>
          <w:b/>
          <w:sz w:val="20"/>
          <w:szCs w:val="20"/>
          <w:lang w:eastAsia="es-PE"/>
        </w:rPr>
      </w:pPr>
      <w:r w:rsidRPr="00882BE0">
        <w:rPr>
          <w:rFonts w:ascii="Arial" w:eastAsia="Times New Roman" w:hAnsi="Arial" w:cs="Arial"/>
          <w:b/>
          <w:sz w:val="20"/>
          <w:szCs w:val="20"/>
          <w:lang w:eastAsia="es-PE"/>
        </w:rPr>
        <w:t>1.-</w:t>
      </w:r>
      <w:r w:rsidRPr="00882BE0">
        <w:rPr>
          <w:rFonts w:ascii="Arial" w:eastAsia="Times New Roman" w:hAnsi="Arial" w:cs="Arial"/>
          <w:b/>
          <w:sz w:val="20"/>
          <w:szCs w:val="20"/>
          <w:lang w:eastAsia="es-PE"/>
        </w:rPr>
        <w:tab/>
        <w:t>Observaciones</w:t>
      </w:r>
      <w:r w:rsidRPr="00882BE0">
        <w:rPr>
          <w:rFonts w:ascii="Arial" w:eastAsia="Times New Roman" w:hAnsi="Arial" w:cs="Arial"/>
          <w:b/>
          <w:sz w:val="20"/>
          <w:szCs w:val="20"/>
          <w:lang w:eastAsia="es-PE"/>
        </w:rPr>
        <w:tab/>
      </w:r>
    </w:p>
    <w:p w:rsidR="00882BE0" w:rsidRPr="00882BE0" w:rsidRDefault="00882BE0" w:rsidP="00DE79BB">
      <w:pPr>
        <w:ind w:left="709" w:hanging="283"/>
        <w:jc w:val="both"/>
        <w:rPr>
          <w:rFonts w:ascii="Arial" w:eastAsia="Times New Roman" w:hAnsi="Arial" w:cs="Arial"/>
          <w:sz w:val="20"/>
          <w:szCs w:val="20"/>
          <w:lang w:eastAsia="es-PE"/>
        </w:rPr>
      </w:pPr>
      <w:r w:rsidRPr="00882BE0">
        <w:rPr>
          <w:rFonts w:ascii="Arial" w:eastAsia="Times New Roman" w:hAnsi="Arial" w:cs="Arial"/>
          <w:sz w:val="20"/>
          <w:szCs w:val="20"/>
          <w:lang w:eastAsia="es-PE"/>
        </w:rPr>
        <w:tab/>
        <w:t>Como resultado de la verificación efectuada por la Comisión de Transferencia de Gestión respecto al Informe para la Transferencia de Gestión y documentación que lo sustenta, no se presentan observaciones.</w:t>
      </w:r>
    </w:p>
    <w:p w:rsidR="00882BE0" w:rsidRPr="00882BE0" w:rsidRDefault="00882BE0" w:rsidP="00882BE0">
      <w:pPr>
        <w:jc w:val="both"/>
        <w:rPr>
          <w:rFonts w:ascii="Arial" w:eastAsia="Times New Roman" w:hAnsi="Arial" w:cs="Arial"/>
          <w:b/>
          <w:sz w:val="20"/>
          <w:szCs w:val="20"/>
          <w:lang w:eastAsia="es-PE"/>
        </w:rPr>
      </w:pPr>
      <w:r w:rsidRPr="00882BE0">
        <w:rPr>
          <w:rFonts w:ascii="Arial" w:eastAsia="Times New Roman" w:hAnsi="Arial" w:cs="Arial"/>
          <w:b/>
          <w:sz w:val="20"/>
          <w:szCs w:val="20"/>
          <w:lang w:eastAsia="es-PE"/>
        </w:rPr>
        <w:t>2.-</w:t>
      </w:r>
      <w:r w:rsidRPr="00882BE0">
        <w:rPr>
          <w:rFonts w:ascii="Arial" w:eastAsia="Times New Roman" w:hAnsi="Arial" w:cs="Arial"/>
          <w:b/>
          <w:sz w:val="20"/>
          <w:szCs w:val="20"/>
          <w:lang w:eastAsia="es-PE"/>
        </w:rPr>
        <w:tab/>
        <w:t>Asuntos pendientes</w:t>
      </w:r>
      <w:r w:rsidRPr="00882BE0">
        <w:rPr>
          <w:rFonts w:ascii="Arial" w:eastAsia="Times New Roman" w:hAnsi="Arial" w:cs="Arial"/>
          <w:b/>
          <w:sz w:val="20"/>
          <w:szCs w:val="20"/>
          <w:lang w:eastAsia="es-PE"/>
        </w:rPr>
        <w:tab/>
      </w:r>
    </w:p>
    <w:p w:rsidR="00882BE0" w:rsidRPr="00882BE0" w:rsidRDefault="00882BE0" w:rsidP="00882BE0">
      <w:pPr>
        <w:ind w:left="709" w:hanging="709"/>
        <w:jc w:val="both"/>
        <w:rPr>
          <w:rFonts w:ascii="Arial" w:eastAsia="Times New Roman" w:hAnsi="Arial" w:cs="Arial"/>
          <w:sz w:val="20"/>
          <w:szCs w:val="20"/>
          <w:lang w:eastAsia="es-PE"/>
        </w:rPr>
      </w:pPr>
      <w:r w:rsidRPr="00882BE0">
        <w:rPr>
          <w:rFonts w:ascii="Arial" w:eastAsia="Times New Roman" w:hAnsi="Arial" w:cs="Arial"/>
          <w:sz w:val="20"/>
          <w:szCs w:val="20"/>
          <w:lang w:eastAsia="es-PE"/>
        </w:rPr>
        <w:tab/>
        <w:t>La Autoridad saliente informa sobre los siguientes asuntos de prioritaria atención, que se hayan generado previamente a la culminación de su mandato:</w:t>
      </w:r>
    </w:p>
    <w:p w:rsidR="00882BE0" w:rsidRPr="00882BE0" w:rsidRDefault="00882BE0" w:rsidP="00882BE0">
      <w:pPr>
        <w:ind w:left="709" w:hanging="283"/>
        <w:jc w:val="both"/>
        <w:rPr>
          <w:rFonts w:ascii="Arial" w:eastAsia="Times New Roman" w:hAnsi="Arial" w:cs="Arial"/>
          <w:sz w:val="20"/>
          <w:szCs w:val="20"/>
          <w:lang w:eastAsia="es-PE"/>
        </w:rPr>
      </w:pPr>
      <w:r w:rsidRPr="00882BE0">
        <w:rPr>
          <w:rFonts w:ascii="Arial" w:eastAsia="Times New Roman" w:hAnsi="Arial" w:cs="Arial"/>
          <w:sz w:val="20"/>
          <w:szCs w:val="20"/>
          <w:lang w:eastAsia="es-PE"/>
        </w:rPr>
        <w:tab/>
        <w:t>Conforme a lo establecido en el Informe de Cumplimiento Misional de Transferencia de Gestión.</w:t>
      </w:r>
      <w:r w:rsidRPr="00882BE0">
        <w:rPr>
          <w:rFonts w:ascii="Arial" w:eastAsia="Times New Roman" w:hAnsi="Arial" w:cs="Arial"/>
          <w:sz w:val="20"/>
          <w:szCs w:val="20"/>
          <w:lang w:eastAsia="es-PE"/>
        </w:rPr>
        <w:tab/>
      </w:r>
    </w:p>
    <w:p w:rsidR="00882BE0" w:rsidRDefault="00882BE0" w:rsidP="00882BE0">
      <w:pPr>
        <w:ind w:left="709" w:hanging="283"/>
        <w:jc w:val="both"/>
        <w:rPr>
          <w:rFonts w:ascii="Arial" w:eastAsia="Times New Roman" w:hAnsi="Arial" w:cs="Arial"/>
          <w:sz w:val="20"/>
          <w:szCs w:val="20"/>
          <w:lang w:eastAsia="es-PE"/>
        </w:rPr>
      </w:pPr>
      <w:r w:rsidRPr="00882BE0">
        <w:rPr>
          <w:rFonts w:ascii="Arial" w:eastAsia="Times New Roman" w:hAnsi="Arial" w:cs="Arial"/>
          <w:sz w:val="20"/>
          <w:szCs w:val="20"/>
          <w:lang w:eastAsia="es-PE"/>
        </w:rPr>
        <w:tab/>
        <w:t>De acuerdo a ello, ambas partes dejan constancia del término del proceso de transferencia de gestión, para cuyo efecto suscriben el presente documento.</w:t>
      </w:r>
    </w:p>
    <w:p w:rsidR="00DE79BB" w:rsidRDefault="00DE79BB" w:rsidP="00882BE0">
      <w:pPr>
        <w:ind w:left="709" w:hanging="283"/>
        <w:jc w:val="both"/>
        <w:rPr>
          <w:rFonts w:ascii="Arial" w:eastAsia="Times New Roman" w:hAnsi="Arial" w:cs="Arial"/>
          <w:sz w:val="20"/>
          <w:szCs w:val="20"/>
          <w:lang w:eastAsia="es-PE"/>
        </w:rPr>
      </w:pPr>
    </w:p>
    <w:p w:rsidR="00DE79BB" w:rsidRDefault="00DE79BB" w:rsidP="00882BE0">
      <w:pPr>
        <w:ind w:left="709" w:hanging="283"/>
        <w:jc w:val="both"/>
        <w:rPr>
          <w:rFonts w:ascii="Arial" w:eastAsia="Times New Roman" w:hAnsi="Arial" w:cs="Arial"/>
          <w:sz w:val="20"/>
          <w:szCs w:val="20"/>
          <w:lang w:eastAsia="es-PE"/>
        </w:rPr>
      </w:pPr>
      <w:bookmarkStart w:id="0" w:name="_GoBack"/>
      <w:bookmarkEnd w:id="0"/>
    </w:p>
    <w:p w:rsidR="00DE79BB" w:rsidRDefault="00DE79BB" w:rsidP="000E3D5B">
      <w:pPr>
        <w:jc w:val="both"/>
        <w:rPr>
          <w:rFonts w:ascii="Arial" w:eastAsia="Times New Roman" w:hAnsi="Arial" w:cs="Arial"/>
          <w:sz w:val="20"/>
          <w:szCs w:val="20"/>
          <w:lang w:eastAsia="es-PE"/>
        </w:rPr>
      </w:pPr>
    </w:p>
    <w:p w:rsidR="00DE79BB" w:rsidRDefault="00DE79BB" w:rsidP="00882BE0">
      <w:pPr>
        <w:ind w:left="709" w:hanging="283"/>
        <w:jc w:val="both"/>
        <w:rPr>
          <w:rFonts w:ascii="Arial" w:eastAsia="Times New Roman" w:hAnsi="Arial" w:cs="Arial"/>
          <w:sz w:val="20"/>
          <w:szCs w:val="20"/>
          <w:lang w:eastAsia="es-PE"/>
        </w:rPr>
      </w:pPr>
      <w:r>
        <w:rPr>
          <w:rFonts w:ascii="Arial" w:eastAsia="Times New Roman" w:hAnsi="Arial" w:cs="Arial"/>
          <w:sz w:val="20"/>
          <w:szCs w:val="20"/>
          <w:lang w:eastAsia="es-PE"/>
        </w:rPr>
        <w:t>__________________________</w:t>
      </w:r>
      <w:r w:rsidR="000E3D5B">
        <w:rPr>
          <w:rFonts w:ascii="Arial" w:eastAsia="Times New Roman" w:hAnsi="Arial" w:cs="Arial"/>
          <w:sz w:val="20"/>
          <w:szCs w:val="20"/>
          <w:lang w:eastAsia="es-PE"/>
        </w:rPr>
        <w:t xml:space="preserve">_                       </w:t>
      </w:r>
      <w:r>
        <w:rPr>
          <w:rFonts w:ascii="Arial" w:eastAsia="Times New Roman" w:hAnsi="Arial" w:cs="Arial"/>
          <w:sz w:val="20"/>
          <w:szCs w:val="20"/>
          <w:lang w:eastAsia="es-PE"/>
        </w:rPr>
        <w:t xml:space="preserve">        </w:t>
      </w:r>
      <w:r w:rsidR="000E3D5B">
        <w:rPr>
          <w:rFonts w:ascii="Arial" w:eastAsia="Times New Roman" w:hAnsi="Arial" w:cs="Arial"/>
          <w:sz w:val="20"/>
          <w:szCs w:val="20"/>
          <w:lang w:eastAsia="es-PE"/>
        </w:rPr>
        <w:t xml:space="preserve">   ____________________________</w:t>
      </w:r>
    </w:p>
    <w:p w:rsidR="00882BE0" w:rsidRDefault="00DE79BB" w:rsidP="00882BE0">
      <w:pPr>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        Autoridad Saliente</w:t>
      </w:r>
      <w:r>
        <w:rPr>
          <w:rFonts w:ascii="Arial" w:eastAsia="Times New Roman" w:hAnsi="Arial" w:cs="Arial"/>
          <w:sz w:val="20"/>
          <w:szCs w:val="20"/>
          <w:lang w:eastAsia="es-PE"/>
        </w:rPr>
        <w:tab/>
      </w:r>
      <w:r>
        <w:rPr>
          <w:rFonts w:ascii="Arial" w:eastAsia="Times New Roman" w:hAnsi="Arial" w:cs="Arial"/>
          <w:sz w:val="20"/>
          <w:szCs w:val="20"/>
          <w:lang w:eastAsia="es-PE"/>
        </w:rPr>
        <w:tab/>
      </w:r>
      <w:r>
        <w:rPr>
          <w:rFonts w:ascii="Arial" w:eastAsia="Times New Roman" w:hAnsi="Arial" w:cs="Arial"/>
          <w:sz w:val="20"/>
          <w:szCs w:val="20"/>
          <w:lang w:eastAsia="es-PE"/>
        </w:rPr>
        <w:tab/>
      </w:r>
      <w:r>
        <w:rPr>
          <w:rFonts w:ascii="Arial" w:eastAsia="Times New Roman" w:hAnsi="Arial" w:cs="Arial"/>
          <w:sz w:val="20"/>
          <w:szCs w:val="20"/>
          <w:lang w:eastAsia="es-PE"/>
        </w:rPr>
        <w:tab/>
      </w:r>
      <w:r>
        <w:rPr>
          <w:rFonts w:ascii="Arial" w:eastAsia="Times New Roman" w:hAnsi="Arial" w:cs="Arial"/>
          <w:sz w:val="20"/>
          <w:szCs w:val="20"/>
          <w:lang w:eastAsia="es-PE"/>
        </w:rPr>
        <w:tab/>
      </w:r>
      <w:r>
        <w:rPr>
          <w:rFonts w:ascii="Arial" w:eastAsia="Times New Roman" w:hAnsi="Arial" w:cs="Arial"/>
          <w:sz w:val="20"/>
          <w:szCs w:val="20"/>
          <w:lang w:eastAsia="es-PE"/>
        </w:rPr>
        <w:tab/>
        <w:t>Autoridad Entrante</w:t>
      </w:r>
    </w:p>
    <w:p w:rsidR="00DE79BB" w:rsidRDefault="00DE79BB" w:rsidP="00882BE0">
      <w:pPr>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        Señor Fernando Bolaños </w:t>
      </w:r>
      <w:proofErr w:type="spellStart"/>
      <w:r>
        <w:rPr>
          <w:rFonts w:ascii="Arial" w:eastAsia="Times New Roman" w:hAnsi="Arial" w:cs="Arial"/>
          <w:sz w:val="20"/>
          <w:szCs w:val="20"/>
          <w:lang w:eastAsia="es-PE"/>
        </w:rPr>
        <w:t>Galdos</w:t>
      </w:r>
      <w:proofErr w:type="spellEnd"/>
      <w:r>
        <w:rPr>
          <w:rFonts w:ascii="Arial" w:eastAsia="Times New Roman" w:hAnsi="Arial" w:cs="Arial"/>
          <w:sz w:val="20"/>
          <w:szCs w:val="20"/>
          <w:lang w:eastAsia="es-PE"/>
        </w:rPr>
        <w:tab/>
      </w:r>
      <w:r>
        <w:rPr>
          <w:rFonts w:ascii="Arial" w:eastAsia="Times New Roman" w:hAnsi="Arial" w:cs="Arial"/>
          <w:sz w:val="20"/>
          <w:szCs w:val="20"/>
          <w:lang w:eastAsia="es-PE"/>
        </w:rPr>
        <w:tab/>
      </w:r>
      <w:r>
        <w:rPr>
          <w:rFonts w:ascii="Arial" w:eastAsia="Times New Roman" w:hAnsi="Arial" w:cs="Arial"/>
          <w:sz w:val="20"/>
          <w:szCs w:val="20"/>
          <w:lang w:eastAsia="es-PE"/>
        </w:rPr>
        <w:tab/>
      </w:r>
      <w:r>
        <w:rPr>
          <w:rFonts w:ascii="Arial" w:eastAsia="Times New Roman" w:hAnsi="Arial" w:cs="Arial"/>
          <w:sz w:val="20"/>
          <w:szCs w:val="20"/>
          <w:lang w:eastAsia="es-PE"/>
        </w:rPr>
        <w:tab/>
        <w:t>Abogada Cecilia Barbieri Quino</w:t>
      </w:r>
    </w:p>
    <w:p w:rsidR="00DE79BB" w:rsidRPr="00882BE0" w:rsidRDefault="00DE79BB" w:rsidP="00DE79BB">
      <w:pPr>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        DNI  Nº </w:t>
      </w:r>
      <w:r w:rsidRPr="00296245">
        <w:rPr>
          <w:rFonts w:ascii="Arial" w:eastAsia="Times New Roman" w:hAnsi="Arial" w:cs="Arial"/>
          <w:sz w:val="20"/>
          <w:szCs w:val="20"/>
          <w:lang w:eastAsia="es-PE"/>
        </w:rPr>
        <w:t>09926486</w:t>
      </w:r>
      <w:r>
        <w:rPr>
          <w:rFonts w:ascii="Arial" w:eastAsia="Times New Roman" w:hAnsi="Arial" w:cs="Arial"/>
          <w:sz w:val="20"/>
          <w:szCs w:val="20"/>
          <w:lang w:eastAsia="es-PE"/>
        </w:rPr>
        <w:tab/>
      </w:r>
      <w:r>
        <w:rPr>
          <w:rFonts w:ascii="Arial" w:eastAsia="Times New Roman" w:hAnsi="Arial" w:cs="Arial"/>
          <w:sz w:val="20"/>
          <w:szCs w:val="20"/>
          <w:lang w:eastAsia="es-PE"/>
        </w:rPr>
        <w:tab/>
      </w:r>
      <w:r>
        <w:rPr>
          <w:rFonts w:ascii="Arial" w:eastAsia="Times New Roman" w:hAnsi="Arial" w:cs="Arial"/>
          <w:sz w:val="20"/>
          <w:szCs w:val="20"/>
          <w:lang w:eastAsia="es-PE"/>
        </w:rPr>
        <w:tab/>
      </w:r>
      <w:r>
        <w:rPr>
          <w:rFonts w:ascii="Arial" w:eastAsia="Times New Roman" w:hAnsi="Arial" w:cs="Arial"/>
          <w:sz w:val="20"/>
          <w:szCs w:val="20"/>
          <w:lang w:eastAsia="es-PE"/>
        </w:rPr>
        <w:tab/>
      </w:r>
      <w:r>
        <w:rPr>
          <w:rFonts w:ascii="Arial" w:eastAsia="Times New Roman" w:hAnsi="Arial" w:cs="Arial"/>
          <w:sz w:val="20"/>
          <w:szCs w:val="20"/>
          <w:lang w:eastAsia="es-PE"/>
        </w:rPr>
        <w:tab/>
      </w:r>
      <w:r>
        <w:rPr>
          <w:rFonts w:ascii="Arial" w:eastAsia="Times New Roman" w:hAnsi="Arial" w:cs="Arial"/>
          <w:sz w:val="20"/>
          <w:szCs w:val="20"/>
          <w:lang w:eastAsia="es-PE"/>
        </w:rPr>
        <w:tab/>
        <w:t xml:space="preserve">DNI Nº </w:t>
      </w:r>
      <w:r w:rsidRPr="00DE79BB">
        <w:rPr>
          <w:rFonts w:ascii="Arial" w:eastAsia="Times New Roman" w:hAnsi="Arial" w:cs="Arial"/>
          <w:sz w:val="20"/>
          <w:szCs w:val="20"/>
          <w:lang w:eastAsia="es-PE"/>
        </w:rPr>
        <w:t>08734753</w:t>
      </w:r>
    </w:p>
    <w:sectPr w:rsidR="00DE79BB" w:rsidRPr="00882B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45"/>
    <w:rsid w:val="0000318E"/>
    <w:rsid w:val="000A7595"/>
    <w:rsid w:val="000B44AC"/>
    <w:rsid w:val="000B6181"/>
    <w:rsid w:val="000C79A9"/>
    <w:rsid w:val="000E3D5B"/>
    <w:rsid w:val="000E5DFF"/>
    <w:rsid w:val="001218BD"/>
    <w:rsid w:val="0012633D"/>
    <w:rsid w:val="00133A63"/>
    <w:rsid w:val="00152A05"/>
    <w:rsid w:val="001B2592"/>
    <w:rsid w:val="00213E84"/>
    <w:rsid w:val="00274850"/>
    <w:rsid w:val="00296245"/>
    <w:rsid w:val="002A2A6E"/>
    <w:rsid w:val="002A723F"/>
    <w:rsid w:val="002C227D"/>
    <w:rsid w:val="002D0BCF"/>
    <w:rsid w:val="002F0C2B"/>
    <w:rsid w:val="00335F8F"/>
    <w:rsid w:val="00340743"/>
    <w:rsid w:val="00362966"/>
    <w:rsid w:val="003709B1"/>
    <w:rsid w:val="003C5869"/>
    <w:rsid w:val="003C60B6"/>
    <w:rsid w:val="003F50D4"/>
    <w:rsid w:val="00405E92"/>
    <w:rsid w:val="00410780"/>
    <w:rsid w:val="00427985"/>
    <w:rsid w:val="00450FD6"/>
    <w:rsid w:val="004520B3"/>
    <w:rsid w:val="00454D65"/>
    <w:rsid w:val="004721E9"/>
    <w:rsid w:val="004C30CB"/>
    <w:rsid w:val="004C7939"/>
    <w:rsid w:val="004D2871"/>
    <w:rsid w:val="004E744A"/>
    <w:rsid w:val="00505506"/>
    <w:rsid w:val="00546DCD"/>
    <w:rsid w:val="005549CE"/>
    <w:rsid w:val="0056506D"/>
    <w:rsid w:val="00565EF5"/>
    <w:rsid w:val="0057565E"/>
    <w:rsid w:val="005B0FE6"/>
    <w:rsid w:val="005B3FBF"/>
    <w:rsid w:val="005F5DF1"/>
    <w:rsid w:val="0062002C"/>
    <w:rsid w:val="00627E16"/>
    <w:rsid w:val="0064203A"/>
    <w:rsid w:val="006564CF"/>
    <w:rsid w:val="006608EF"/>
    <w:rsid w:val="006A21DD"/>
    <w:rsid w:val="006A48A1"/>
    <w:rsid w:val="006F1A3E"/>
    <w:rsid w:val="007018DB"/>
    <w:rsid w:val="00721842"/>
    <w:rsid w:val="0078022C"/>
    <w:rsid w:val="00781913"/>
    <w:rsid w:val="00793215"/>
    <w:rsid w:val="007A4AC1"/>
    <w:rsid w:val="007E43AE"/>
    <w:rsid w:val="00805360"/>
    <w:rsid w:val="00874C84"/>
    <w:rsid w:val="00882BE0"/>
    <w:rsid w:val="00890E58"/>
    <w:rsid w:val="008911BB"/>
    <w:rsid w:val="008A6C34"/>
    <w:rsid w:val="008B0654"/>
    <w:rsid w:val="008B7911"/>
    <w:rsid w:val="008C66F4"/>
    <w:rsid w:val="00917BED"/>
    <w:rsid w:val="009444F0"/>
    <w:rsid w:val="009B024A"/>
    <w:rsid w:val="009E61BB"/>
    <w:rsid w:val="00A51245"/>
    <w:rsid w:val="00A80BE7"/>
    <w:rsid w:val="00A91539"/>
    <w:rsid w:val="00A92CBA"/>
    <w:rsid w:val="00AE25CF"/>
    <w:rsid w:val="00AF5587"/>
    <w:rsid w:val="00B272A9"/>
    <w:rsid w:val="00B314C7"/>
    <w:rsid w:val="00B512EF"/>
    <w:rsid w:val="00B85D70"/>
    <w:rsid w:val="00B95E3A"/>
    <w:rsid w:val="00BE0F4D"/>
    <w:rsid w:val="00BE396D"/>
    <w:rsid w:val="00C1462D"/>
    <w:rsid w:val="00C25FDE"/>
    <w:rsid w:val="00C457D9"/>
    <w:rsid w:val="00C90E60"/>
    <w:rsid w:val="00C95C4D"/>
    <w:rsid w:val="00CB4D0D"/>
    <w:rsid w:val="00CE0A08"/>
    <w:rsid w:val="00CE67D8"/>
    <w:rsid w:val="00CF2144"/>
    <w:rsid w:val="00D25BBA"/>
    <w:rsid w:val="00D319DD"/>
    <w:rsid w:val="00D636E6"/>
    <w:rsid w:val="00D701EE"/>
    <w:rsid w:val="00D729F2"/>
    <w:rsid w:val="00DA0A2C"/>
    <w:rsid w:val="00DB4AAF"/>
    <w:rsid w:val="00DC599E"/>
    <w:rsid w:val="00DE58FD"/>
    <w:rsid w:val="00DE79BB"/>
    <w:rsid w:val="00DF31D9"/>
    <w:rsid w:val="00E20384"/>
    <w:rsid w:val="00E5091C"/>
    <w:rsid w:val="00E74E93"/>
    <w:rsid w:val="00E94E90"/>
    <w:rsid w:val="00EF4447"/>
    <w:rsid w:val="00EF728F"/>
    <w:rsid w:val="00F01EC0"/>
    <w:rsid w:val="00F1261F"/>
    <w:rsid w:val="00F40ACD"/>
    <w:rsid w:val="00F52EA6"/>
    <w:rsid w:val="00F62E45"/>
    <w:rsid w:val="00F86E6A"/>
    <w:rsid w:val="00FC72C9"/>
    <w:rsid w:val="00FE28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lancer">
    <w:name w:val="cuerpo-lancer"/>
    <w:basedOn w:val="Normal"/>
    <w:rsid w:val="0029624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5">
    <w:name w:val="no-style-override-5"/>
    <w:basedOn w:val="Fuentedeprrafopredeter"/>
    <w:rsid w:val="00296245"/>
  </w:style>
  <w:style w:type="paragraph" w:customStyle="1" w:styleId="x-ning-n-estilo-de-p-rrafo-">
    <w:name w:val="x-ning-n-estilo-de-p-rrafo-"/>
    <w:basedOn w:val="Normal"/>
    <w:rsid w:val="0029624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1">
    <w:name w:val="no-style-override-1"/>
    <w:basedOn w:val="Fuentedeprrafopredeter"/>
    <w:rsid w:val="00296245"/>
  </w:style>
  <w:style w:type="character" w:customStyle="1" w:styleId="no-style-override-2">
    <w:name w:val="no-style-override-2"/>
    <w:basedOn w:val="Fuentedeprrafopredeter"/>
    <w:rsid w:val="00296245"/>
  </w:style>
  <w:style w:type="table" w:styleId="Tablaconcuadrcula">
    <w:name w:val="Table Grid"/>
    <w:basedOn w:val="Tablanormal"/>
    <w:uiPriority w:val="39"/>
    <w:rsid w:val="00296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lancer">
    <w:name w:val="cuerpo-lancer"/>
    <w:basedOn w:val="Normal"/>
    <w:rsid w:val="0029624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5">
    <w:name w:val="no-style-override-5"/>
    <w:basedOn w:val="Fuentedeprrafopredeter"/>
    <w:rsid w:val="00296245"/>
  </w:style>
  <w:style w:type="paragraph" w:customStyle="1" w:styleId="x-ning-n-estilo-de-p-rrafo-">
    <w:name w:val="x-ning-n-estilo-de-p-rrafo-"/>
    <w:basedOn w:val="Normal"/>
    <w:rsid w:val="0029624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1">
    <w:name w:val="no-style-override-1"/>
    <w:basedOn w:val="Fuentedeprrafopredeter"/>
    <w:rsid w:val="00296245"/>
  </w:style>
  <w:style w:type="character" w:customStyle="1" w:styleId="no-style-override-2">
    <w:name w:val="no-style-override-2"/>
    <w:basedOn w:val="Fuentedeprrafopredeter"/>
    <w:rsid w:val="00296245"/>
  </w:style>
  <w:style w:type="table" w:styleId="Tablaconcuadrcula">
    <w:name w:val="Table Grid"/>
    <w:basedOn w:val="Tablanormal"/>
    <w:uiPriority w:val="39"/>
    <w:rsid w:val="00296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CONADIS</dc:creator>
  <cp:keywords/>
  <dc:description/>
  <cp:lastModifiedBy>Susana Cardenas Rodriguez</cp:lastModifiedBy>
  <cp:revision>3</cp:revision>
  <dcterms:created xsi:type="dcterms:W3CDTF">2016-08-16T16:34:00Z</dcterms:created>
  <dcterms:modified xsi:type="dcterms:W3CDTF">2016-08-18T18:03:00Z</dcterms:modified>
</cp:coreProperties>
</file>